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18CA" w14:textId="5A0272BA" w:rsidR="008F3B5E" w:rsidRPr="008F3B5E" w:rsidRDefault="008F3B5E" w:rsidP="008F3B5E">
      <w:pPr>
        <w:spacing w:line="288" w:lineRule="auto"/>
        <w:ind w:firstLine="720"/>
        <w:jc w:val="center"/>
        <w:rPr>
          <w:b/>
          <w:bCs/>
          <w:sz w:val="28"/>
          <w:szCs w:val="28"/>
        </w:rPr>
      </w:pPr>
      <w:r w:rsidRPr="008F3B5E">
        <w:rPr>
          <w:b/>
          <w:bCs/>
          <w:sz w:val="28"/>
          <w:szCs w:val="28"/>
        </w:rPr>
        <w:t>VỆ TINH GIÁM SÁT KHÍ NHÀ KÍNH</w:t>
      </w:r>
    </w:p>
    <w:p w14:paraId="60F44535" w14:textId="3052A88E" w:rsidR="008F3B5E" w:rsidRDefault="008F3B5E" w:rsidP="008F3B5E">
      <w:pPr>
        <w:spacing w:line="288" w:lineRule="auto"/>
        <w:ind w:firstLine="720"/>
        <w:jc w:val="center"/>
        <w:rPr>
          <w:b/>
          <w:bCs/>
          <w:sz w:val="28"/>
          <w:szCs w:val="28"/>
        </w:rPr>
      </w:pPr>
      <w:r w:rsidRPr="008F3B5E">
        <w:rPr>
          <w:b/>
          <w:bCs/>
          <w:sz w:val="28"/>
          <w:szCs w:val="28"/>
        </w:rPr>
        <w:t>VÀ KỶ NGUYÊN MINH BẠCH CARBON TOÀN CẦU</w:t>
      </w:r>
    </w:p>
    <w:p w14:paraId="0F8121A5" w14:textId="77777777" w:rsidR="008F3B5E" w:rsidRPr="008F3B5E" w:rsidRDefault="008F3B5E" w:rsidP="008F3B5E">
      <w:pPr>
        <w:spacing w:line="288" w:lineRule="auto"/>
        <w:ind w:firstLine="720"/>
        <w:jc w:val="center"/>
        <w:rPr>
          <w:b/>
          <w:bCs/>
          <w:sz w:val="28"/>
          <w:szCs w:val="28"/>
        </w:rPr>
      </w:pPr>
    </w:p>
    <w:p w14:paraId="160FF6EC" w14:textId="77777777" w:rsidR="008F3B5E" w:rsidRPr="008F3B5E" w:rsidRDefault="008F3B5E" w:rsidP="008F3B5E">
      <w:pPr>
        <w:spacing w:line="288" w:lineRule="auto"/>
        <w:ind w:firstLine="720"/>
        <w:jc w:val="both"/>
        <w:rPr>
          <w:sz w:val="28"/>
          <w:szCs w:val="28"/>
        </w:rPr>
      </w:pPr>
      <w:r w:rsidRPr="008F3B5E">
        <w:rPr>
          <w:sz w:val="28"/>
          <w:szCs w:val="28"/>
        </w:rPr>
        <w:t>Trong bối cảnh thế giới ngày càng nhận thức rõ nét ảnh hưởng của biến đổi khí hậu đến môi trường, sức khỏe con người và nền kinh tế, các cam kết quốc về giảm phát thải khí nhà kính đặt ra yêu cầu cao về tính minh bạch và trung thực trong kiểm kê phát thải. Trước đây, phần lớn việc tính toán lượng phát thải chủ yếu được xây dựng dựa trên mô hình và ước tính. Giờ đây, với sự phát triển của công nghệ viễn thám, một kỷ nguyên mới đã bắt đầu - kỷ nguyên quan sát trực tiếp và minh bạch carbon, nơi mọi nguồn phát thải đều có thể được giám sát độc lập từ không gian.</w:t>
      </w:r>
    </w:p>
    <w:p w14:paraId="7D806817" w14:textId="77777777" w:rsidR="008F3B5E" w:rsidRPr="008F3B5E" w:rsidRDefault="008F3B5E" w:rsidP="008F3B5E">
      <w:pPr>
        <w:spacing w:line="288" w:lineRule="auto"/>
        <w:ind w:firstLine="720"/>
        <w:jc w:val="both"/>
        <w:rPr>
          <w:b/>
          <w:bCs/>
          <w:sz w:val="28"/>
          <w:szCs w:val="28"/>
        </w:rPr>
      </w:pPr>
      <w:r w:rsidRPr="008F3B5E">
        <w:rPr>
          <w:b/>
          <w:bCs/>
          <w:sz w:val="28"/>
          <w:szCs w:val="28"/>
        </w:rPr>
        <w:t>Viễn thám - công cụ then chốt trong hệ thống MRV toàn cầu</w:t>
      </w:r>
    </w:p>
    <w:p w14:paraId="42262893" w14:textId="25502BCE" w:rsidR="008F3B5E" w:rsidRPr="00915606" w:rsidRDefault="008F3B5E" w:rsidP="008F3B5E">
      <w:pPr>
        <w:spacing w:line="288" w:lineRule="auto"/>
        <w:ind w:firstLine="720"/>
        <w:jc w:val="both"/>
        <w:rPr>
          <w:sz w:val="28"/>
          <w:szCs w:val="28"/>
        </w:rPr>
      </w:pPr>
      <w:r w:rsidRPr="00915606">
        <w:rPr>
          <w:sz w:val="28"/>
          <w:szCs w:val="28"/>
        </w:rPr>
        <w:t xml:space="preserve">Để đạt được mục tiêu trung hòa carbon (Net Zero), các quốc gia cần xây dựng hệ thống giám sát, báo cáo và kiểm chứng phát thải khí nhà kính (MRV) một cách khách quan và chính xác. Trước đây, việc giám sát phát thải chủ yếu dựa vào mạng lưới trạm quan trắc mặt đất </w:t>
      </w:r>
      <w:r>
        <w:rPr>
          <w:sz w:val="28"/>
          <w:szCs w:val="28"/>
        </w:rPr>
        <w:t>-</w:t>
      </w:r>
      <w:r w:rsidRPr="00915606">
        <w:rPr>
          <w:sz w:val="28"/>
          <w:szCs w:val="28"/>
        </w:rPr>
        <w:t xml:space="preserve"> phương pháp có độ chính xác cao nhưng tốn kém, phân bố không đồng đều và khó áp dụng trên phạm vi rộng, đặc biệt là đại dương và rừng nhiệt đới.</w:t>
      </w:r>
    </w:p>
    <w:p w14:paraId="4CEF70BC" w14:textId="77777777" w:rsidR="008F3B5E" w:rsidRPr="008F3B5E" w:rsidRDefault="008F3B5E" w:rsidP="008F3B5E">
      <w:pPr>
        <w:spacing w:line="288" w:lineRule="auto"/>
        <w:ind w:firstLine="720"/>
        <w:jc w:val="both"/>
        <w:rPr>
          <w:sz w:val="28"/>
          <w:szCs w:val="28"/>
        </w:rPr>
      </w:pPr>
      <w:r w:rsidRPr="008F3B5E">
        <w:rPr>
          <w:sz w:val="28"/>
          <w:szCs w:val="28"/>
        </w:rPr>
        <w:t>Công nghệ viễn thám vệ tinh đang trở thành giải pháp chủ đạo, cung cấp dữ liệu toàn cầu, liên tục và khách quan, giúp kiểm chứng độc lập các báo cáo phát thải của quốc gia và doanh nghiệp. Đây là công cụ thiết yếu để đảm bảo tính minh bạch và trách nhiệm trong thực hiện các cam kết khí hậu quốc tế.</w:t>
      </w:r>
    </w:p>
    <w:p w14:paraId="18C4B444" w14:textId="77777777" w:rsidR="008F3B5E" w:rsidRPr="00915606" w:rsidRDefault="008F3B5E" w:rsidP="008F3B5E">
      <w:pPr>
        <w:spacing w:line="288" w:lineRule="auto"/>
        <w:ind w:firstLine="720"/>
        <w:jc w:val="both"/>
        <w:rPr>
          <w:sz w:val="28"/>
          <w:szCs w:val="28"/>
        </w:rPr>
      </w:pPr>
      <w:r w:rsidRPr="00915606">
        <w:rPr>
          <w:sz w:val="28"/>
          <w:szCs w:val="28"/>
        </w:rPr>
        <w:t xml:space="preserve">Các vệ tinh giám sát khí nhà kính hiện tập trung vào hai </w:t>
      </w:r>
      <w:r w:rsidRPr="008F3B5E">
        <w:rPr>
          <w:sz w:val="28"/>
          <w:szCs w:val="28"/>
        </w:rPr>
        <w:t>loại khí</w:t>
      </w:r>
      <w:r w:rsidRPr="00915606">
        <w:rPr>
          <w:sz w:val="28"/>
          <w:szCs w:val="28"/>
        </w:rPr>
        <w:t xml:space="preserve"> chính: </w:t>
      </w:r>
      <w:r w:rsidRPr="00915606">
        <w:rPr>
          <w:rFonts w:eastAsiaTheme="majorEastAsia"/>
          <w:sz w:val="28"/>
          <w:szCs w:val="28"/>
        </w:rPr>
        <w:t>Carbon Dioxide (CO₂)</w:t>
      </w:r>
      <w:r w:rsidRPr="00915606">
        <w:rPr>
          <w:sz w:val="28"/>
          <w:szCs w:val="28"/>
        </w:rPr>
        <w:t xml:space="preserve"> </w:t>
      </w:r>
      <w:r w:rsidRPr="008F3B5E">
        <w:rPr>
          <w:sz w:val="28"/>
          <w:szCs w:val="28"/>
        </w:rPr>
        <w:t>-</w:t>
      </w:r>
      <w:r w:rsidRPr="00915606">
        <w:rPr>
          <w:sz w:val="28"/>
          <w:szCs w:val="28"/>
        </w:rPr>
        <w:t xml:space="preserve"> nguyên nhân gây nóng lên toàn cầu</w:t>
      </w:r>
      <w:r w:rsidRPr="008F3B5E">
        <w:rPr>
          <w:sz w:val="28"/>
          <w:szCs w:val="28"/>
        </w:rPr>
        <w:t xml:space="preserve"> trong </w:t>
      </w:r>
      <w:r w:rsidRPr="00915606">
        <w:rPr>
          <w:sz w:val="28"/>
          <w:szCs w:val="28"/>
        </w:rPr>
        <w:t xml:space="preserve">dài hạn, và </w:t>
      </w:r>
      <w:r w:rsidRPr="00915606">
        <w:rPr>
          <w:rFonts w:eastAsiaTheme="majorEastAsia"/>
          <w:sz w:val="28"/>
          <w:szCs w:val="28"/>
        </w:rPr>
        <w:t>Methane (CH₄)</w:t>
      </w:r>
      <w:r w:rsidRPr="00915606">
        <w:rPr>
          <w:sz w:val="28"/>
          <w:szCs w:val="28"/>
        </w:rPr>
        <w:t xml:space="preserve"> </w:t>
      </w:r>
      <w:r w:rsidRPr="008F3B5E">
        <w:rPr>
          <w:sz w:val="28"/>
          <w:szCs w:val="28"/>
        </w:rPr>
        <w:t>-</w:t>
      </w:r>
      <w:r w:rsidRPr="00915606">
        <w:rPr>
          <w:sz w:val="28"/>
          <w:szCs w:val="28"/>
        </w:rPr>
        <w:t xml:space="preserve"> khí có khả năng giữ nhiệt cao gấp khoảng 80 lần CO₂ trong 20 năm đầu tiên.</w:t>
      </w:r>
    </w:p>
    <w:p w14:paraId="4D44519F" w14:textId="77777777" w:rsidR="008F3B5E" w:rsidRPr="008F3B5E" w:rsidRDefault="008F3B5E" w:rsidP="008F3B5E">
      <w:pPr>
        <w:spacing w:line="288" w:lineRule="auto"/>
        <w:ind w:firstLine="720"/>
        <w:jc w:val="both"/>
        <w:rPr>
          <w:sz w:val="28"/>
          <w:szCs w:val="28"/>
        </w:rPr>
      </w:pPr>
      <w:r w:rsidRPr="00915606">
        <w:rPr>
          <w:sz w:val="28"/>
          <w:szCs w:val="28"/>
        </w:rPr>
        <w:t xml:space="preserve">Các vệ tinh này không chụp ảnh trực tiếp khí thải, mà hoạt động dựa trên nguyên lý quang phổ học. Mỗi loại khí có “dấu vân tay quang phổ” đặc trưng, hấp thụ ánh sáng mặt trời ở các bước sóng nhất định. Bằng cách phân tích phổ ánh sáng phản xạ từ bề mặt Trái </w:t>
      </w:r>
      <w:r w:rsidRPr="008F3B5E">
        <w:rPr>
          <w:sz w:val="28"/>
          <w:szCs w:val="28"/>
        </w:rPr>
        <w:t>đ</w:t>
      </w:r>
      <w:r w:rsidRPr="00915606">
        <w:rPr>
          <w:sz w:val="28"/>
          <w:szCs w:val="28"/>
        </w:rPr>
        <w:t xml:space="preserve">ất, các nhà khoa học có thể xác định </w:t>
      </w:r>
      <w:r w:rsidRPr="008F3B5E">
        <w:rPr>
          <w:sz w:val="28"/>
          <w:szCs w:val="28"/>
        </w:rPr>
        <w:t>được</w:t>
      </w:r>
      <w:r w:rsidRPr="00915606">
        <w:rPr>
          <w:sz w:val="28"/>
          <w:szCs w:val="28"/>
        </w:rPr>
        <w:t xml:space="preserve"> nồng độ khí CO₂ và CH₄ trong khí quyển.</w:t>
      </w:r>
    </w:p>
    <w:p w14:paraId="50FC0E16" w14:textId="77777777" w:rsidR="008F3B5E" w:rsidRPr="008F3B5E" w:rsidRDefault="008F3B5E" w:rsidP="008F3B5E">
      <w:pPr>
        <w:spacing w:line="288" w:lineRule="auto"/>
        <w:ind w:firstLine="720"/>
        <w:jc w:val="both"/>
        <w:rPr>
          <w:b/>
          <w:bCs/>
          <w:sz w:val="28"/>
          <w:szCs w:val="28"/>
        </w:rPr>
      </w:pPr>
      <w:r w:rsidRPr="008F3B5E">
        <w:rPr>
          <w:b/>
          <w:bCs/>
          <w:sz w:val="28"/>
          <w:szCs w:val="28"/>
        </w:rPr>
        <w:t>Các giai đoạn phát triển của công nghệ vệ tinh giám sát khí nhà kính</w:t>
      </w:r>
    </w:p>
    <w:p w14:paraId="70B54D36" w14:textId="77777777" w:rsidR="008F3B5E" w:rsidRPr="00A6113E" w:rsidRDefault="008F3B5E" w:rsidP="008F3B5E">
      <w:pPr>
        <w:numPr>
          <w:ilvl w:val="0"/>
          <w:numId w:val="1"/>
        </w:numPr>
        <w:tabs>
          <w:tab w:val="clear" w:pos="720"/>
          <w:tab w:val="left" w:pos="851"/>
        </w:tabs>
        <w:spacing w:line="288" w:lineRule="auto"/>
        <w:ind w:left="0" w:firstLine="709"/>
        <w:jc w:val="both"/>
        <w:rPr>
          <w:sz w:val="28"/>
          <w:szCs w:val="28"/>
        </w:rPr>
      </w:pPr>
      <w:r w:rsidRPr="00A6113E">
        <w:rPr>
          <w:rFonts w:eastAsiaTheme="majorEastAsia"/>
          <w:sz w:val="28"/>
          <w:szCs w:val="28"/>
        </w:rPr>
        <w:t>Giai đoạn 1 (2002–2009):</w:t>
      </w:r>
      <w:r w:rsidRPr="00A6113E">
        <w:rPr>
          <w:sz w:val="28"/>
          <w:szCs w:val="28"/>
        </w:rPr>
        <w:t xml:space="preserve"> Giai đoạn khởi đầu với các sứ mệnh khoa học như </w:t>
      </w:r>
      <w:r w:rsidRPr="00A6113E">
        <w:rPr>
          <w:rFonts w:eastAsiaTheme="majorEastAsia"/>
          <w:sz w:val="28"/>
          <w:szCs w:val="28"/>
        </w:rPr>
        <w:t>SCIAMACHY</w:t>
      </w:r>
      <w:r w:rsidRPr="008F3B5E">
        <w:rPr>
          <w:sz w:val="28"/>
          <w:szCs w:val="28"/>
        </w:rPr>
        <w:t xml:space="preserve"> (trên Envisat của Châu Âu)</w:t>
      </w:r>
      <w:r w:rsidRPr="00A6113E">
        <w:rPr>
          <w:sz w:val="28"/>
          <w:szCs w:val="28"/>
        </w:rPr>
        <w:t xml:space="preserve"> và </w:t>
      </w:r>
      <w:r w:rsidRPr="00A6113E">
        <w:rPr>
          <w:rFonts w:eastAsiaTheme="majorEastAsia"/>
          <w:sz w:val="28"/>
          <w:szCs w:val="28"/>
        </w:rPr>
        <w:t>GOSAT</w:t>
      </w:r>
      <w:r w:rsidRPr="008F3B5E">
        <w:rPr>
          <w:sz w:val="28"/>
          <w:szCs w:val="28"/>
        </w:rPr>
        <w:t xml:space="preserve"> (Nhật Bản). Giai đoạn này, dữ liệu mang tính đột phá nhưng độ phân giải thấp, tần suất thưa</w:t>
      </w:r>
      <w:r w:rsidRPr="00A6113E">
        <w:rPr>
          <w:sz w:val="28"/>
          <w:szCs w:val="28"/>
        </w:rPr>
        <w:t>, chủ yếu nhằm chứng minh khả năng đo đạc khí nhà kính từ vũ trụ.</w:t>
      </w:r>
    </w:p>
    <w:p w14:paraId="76600E0B" w14:textId="77777777" w:rsidR="008F3B5E" w:rsidRPr="00A6113E" w:rsidRDefault="008F3B5E" w:rsidP="008F3B5E">
      <w:pPr>
        <w:numPr>
          <w:ilvl w:val="0"/>
          <w:numId w:val="1"/>
        </w:numPr>
        <w:tabs>
          <w:tab w:val="clear" w:pos="720"/>
          <w:tab w:val="left" w:pos="851"/>
        </w:tabs>
        <w:spacing w:line="288" w:lineRule="auto"/>
        <w:ind w:left="0" w:firstLine="709"/>
        <w:jc w:val="both"/>
        <w:rPr>
          <w:sz w:val="28"/>
          <w:szCs w:val="28"/>
        </w:rPr>
      </w:pPr>
      <w:r w:rsidRPr="00A6113E">
        <w:rPr>
          <w:rFonts w:eastAsiaTheme="majorEastAsia"/>
          <w:sz w:val="28"/>
          <w:szCs w:val="28"/>
        </w:rPr>
        <w:lastRenderedPageBreak/>
        <w:t>Giai đoạn 2 (2014–2019):</w:t>
      </w:r>
      <w:r w:rsidRPr="00A6113E">
        <w:rPr>
          <w:sz w:val="28"/>
          <w:szCs w:val="28"/>
        </w:rPr>
        <w:t xml:space="preserve"> Hình thành nền tảng chuẩn mực với các vệ tinh như </w:t>
      </w:r>
      <w:r w:rsidRPr="00A6113E">
        <w:rPr>
          <w:rFonts w:eastAsiaTheme="majorEastAsia"/>
          <w:sz w:val="28"/>
          <w:szCs w:val="28"/>
        </w:rPr>
        <w:t>OCO-2</w:t>
      </w:r>
      <w:r w:rsidRPr="00A6113E">
        <w:rPr>
          <w:sz w:val="28"/>
          <w:szCs w:val="28"/>
        </w:rPr>
        <w:t xml:space="preserve"> (NASA) và </w:t>
      </w:r>
      <w:r w:rsidRPr="00A6113E">
        <w:rPr>
          <w:rFonts w:eastAsiaTheme="majorEastAsia"/>
          <w:sz w:val="28"/>
          <w:szCs w:val="28"/>
        </w:rPr>
        <w:t>Sentinel-5P</w:t>
      </w:r>
      <w:r w:rsidRPr="00A6113E">
        <w:rPr>
          <w:sz w:val="28"/>
          <w:szCs w:val="28"/>
        </w:rPr>
        <w:t xml:space="preserve"> (ESA), cung cấp dữ liệu </w:t>
      </w:r>
      <w:r w:rsidRPr="008F3B5E">
        <w:rPr>
          <w:sz w:val="28"/>
          <w:szCs w:val="28"/>
        </w:rPr>
        <w:t>đáng tin cậy, bao phủ toàn cầu</w:t>
      </w:r>
      <w:r w:rsidRPr="00A6113E">
        <w:rPr>
          <w:sz w:val="28"/>
          <w:szCs w:val="28"/>
        </w:rPr>
        <w:t xml:space="preserve"> và miễn phí cho cộng đồng quốc tế.</w:t>
      </w:r>
      <w:r w:rsidRPr="008F3B5E">
        <w:rPr>
          <w:sz w:val="28"/>
          <w:szCs w:val="28"/>
        </w:rPr>
        <w:t xml:space="preserve"> Đây là giai đoạn dữ liệu vệ tinh đã được nâng cao độ chính xác, độ phân giải và tần suất giám sát.</w:t>
      </w:r>
    </w:p>
    <w:p w14:paraId="5E07BEE5" w14:textId="77777777" w:rsidR="008F3B5E" w:rsidRPr="008F3B5E" w:rsidRDefault="008F3B5E" w:rsidP="008F3B5E">
      <w:pPr>
        <w:numPr>
          <w:ilvl w:val="0"/>
          <w:numId w:val="1"/>
        </w:numPr>
        <w:tabs>
          <w:tab w:val="clear" w:pos="720"/>
          <w:tab w:val="left" w:pos="851"/>
        </w:tabs>
        <w:spacing w:line="288" w:lineRule="auto"/>
        <w:ind w:left="0" w:firstLine="709"/>
        <w:jc w:val="both"/>
        <w:rPr>
          <w:sz w:val="28"/>
          <w:szCs w:val="28"/>
        </w:rPr>
      </w:pPr>
      <w:r w:rsidRPr="00A6113E">
        <w:rPr>
          <w:rFonts w:eastAsiaTheme="majorEastAsia"/>
          <w:sz w:val="28"/>
          <w:szCs w:val="28"/>
        </w:rPr>
        <w:t>Giai đoạn 3 (từ 2020 đến nay):</w:t>
      </w:r>
      <w:r w:rsidRPr="00A6113E">
        <w:rPr>
          <w:sz w:val="28"/>
          <w:szCs w:val="28"/>
        </w:rPr>
        <w:t xml:space="preserve"> Bùng nổ về số lượng và năng lực vệ tinh. Các tổ chức tư nhân và phi lợi nhuận đã tham gia mạnh mẽ, hình thành các </w:t>
      </w:r>
      <w:r w:rsidRPr="00A6113E">
        <w:rPr>
          <w:rFonts w:eastAsiaTheme="majorEastAsia"/>
          <w:sz w:val="28"/>
          <w:szCs w:val="28"/>
        </w:rPr>
        <w:t>chòm vệ tinh (constellations)</w:t>
      </w:r>
      <w:r w:rsidRPr="00A6113E">
        <w:rPr>
          <w:sz w:val="28"/>
          <w:szCs w:val="28"/>
        </w:rPr>
        <w:t xml:space="preserve"> có khả năng giám sát liên tục và chi tiết hơn bao giờ hết.</w:t>
      </w:r>
      <w:r w:rsidRPr="008F3B5E">
        <w:rPr>
          <w:sz w:val="28"/>
          <w:szCs w:val="28"/>
        </w:rPr>
        <w:t xml:space="preserve"> </w:t>
      </w:r>
    </w:p>
    <w:p w14:paraId="6A333D9E" w14:textId="77777777" w:rsidR="008F3B5E" w:rsidRPr="00A6113E" w:rsidRDefault="008F3B5E" w:rsidP="008F3B5E">
      <w:pPr>
        <w:spacing w:line="288" w:lineRule="auto"/>
        <w:ind w:firstLine="720"/>
        <w:jc w:val="both"/>
        <w:rPr>
          <w:sz w:val="28"/>
          <w:szCs w:val="28"/>
        </w:rPr>
      </w:pPr>
      <w:r w:rsidRPr="00A6113E">
        <w:rPr>
          <w:sz w:val="28"/>
          <w:szCs w:val="28"/>
        </w:rPr>
        <w:t xml:space="preserve">Đặc biệt, các vệ tinh </w:t>
      </w:r>
      <w:r w:rsidRPr="00A6113E">
        <w:rPr>
          <w:rFonts w:eastAsiaTheme="majorEastAsia"/>
          <w:sz w:val="28"/>
          <w:szCs w:val="28"/>
        </w:rPr>
        <w:t>MethaneSAT</w:t>
      </w:r>
      <w:r w:rsidRPr="00A6113E">
        <w:rPr>
          <w:sz w:val="28"/>
          <w:szCs w:val="28"/>
        </w:rPr>
        <w:t xml:space="preserve"> (do Quỹ EDF triển khai) và </w:t>
      </w:r>
      <w:r w:rsidRPr="00A6113E">
        <w:rPr>
          <w:rFonts w:eastAsiaTheme="majorEastAsia"/>
          <w:sz w:val="28"/>
          <w:szCs w:val="28"/>
        </w:rPr>
        <w:t>Tanager-1</w:t>
      </w:r>
      <w:r w:rsidRPr="00A6113E">
        <w:rPr>
          <w:sz w:val="28"/>
          <w:szCs w:val="28"/>
        </w:rPr>
        <w:t xml:space="preserve"> (thuộc tổ chức phi lợi nhuận </w:t>
      </w:r>
      <w:r w:rsidRPr="00A6113E">
        <w:rPr>
          <w:rFonts w:eastAsiaTheme="majorEastAsia"/>
          <w:sz w:val="28"/>
          <w:szCs w:val="28"/>
        </w:rPr>
        <w:t>Carbon Mapper</w:t>
      </w:r>
      <w:r w:rsidRPr="00A6113E">
        <w:rPr>
          <w:sz w:val="28"/>
          <w:szCs w:val="28"/>
        </w:rPr>
        <w:t>) được phóng trong giai đoạn 2024–2025, đánh dấu bước tiến quan trọng trong khả năng phát hiện và định lượng đồng thời cả CO₂ và CH₄ ở độ phân giải khoảng 30 mét.</w:t>
      </w:r>
    </w:p>
    <w:p w14:paraId="4ACFBBDA" w14:textId="77777777" w:rsidR="008F3B5E" w:rsidRPr="008F3B5E" w:rsidRDefault="008F3B5E" w:rsidP="008F3B5E">
      <w:pPr>
        <w:spacing w:line="288" w:lineRule="auto"/>
        <w:ind w:firstLine="720"/>
        <w:jc w:val="both"/>
        <w:rPr>
          <w:sz w:val="28"/>
          <w:szCs w:val="28"/>
        </w:rPr>
      </w:pPr>
      <w:r w:rsidRPr="008F3B5E">
        <w:rPr>
          <w:sz w:val="28"/>
          <w:szCs w:val="28"/>
        </w:rPr>
        <w:t>Công nghệ vệ tinh đã dịch chuyển từ sử dụng cảm biến quang phổ kế quét rộng (như SCIAMACHY) đến cảm biến có độ chính xác cao (như OCO-2) và cảm biến ảnh độ phân giải siêu cao (như GHGSat).</w:t>
      </w:r>
    </w:p>
    <w:p w14:paraId="1E6671CA" w14:textId="77777777" w:rsidR="008F3B5E" w:rsidRPr="008F3B5E" w:rsidRDefault="008F3B5E" w:rsidP="008F3B5E">
      <w:pPr>
        <w:spacing w:line="288" w:lineRule="auto"/>
        <w:ind w:firstLine="720"/>
        <w:jc w:val="both"/>
        <w:rPr>
          <w:b/>
          <w:bCs/>
          <w:sz w:val="28"/>
          <w:szCs w:val="28"/>
        </w:rPr>
      </w:pPr>
      <w:r w:rsidRPr="008F3B5E">
        <w:rPr>
          <w:b/>
          <w:bCs/>
          <w:sz w:val="28"/>
          <w:szCs w:val="28"/>
        </w:rPr>
        <w:t>Một số vệ tinh giám sát khí nhà kính phổ biến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9"/>
        <w:gridCol w:w="1954"/>
        <w:gridCol w:w="2693"/>
        <w:gridCol w:w="2693"/>
      </w:tblGrid>
      <w:tr w:rsidR="008F3B5E" w:rsidRPr="008F3B5E" w14:paraId="6A8E2624" w14:textId="77777777" w:rsidTr="008F3B5E">
        <w:trPr>
          <w:trHeight w:val="315"/>
        </w:trPr>
        <w:tc>
          <w:tcPr>
            <w:tcW w:w="0" w:type="auto"/>
            <w:tcMar>
              <w:top w:w="30" w:type="dxa"/>
              <w:left w:w="45" w:type="dxa"/>
              <w:bottom w:w="30" w:type="dxa"/>
              <w:right w:w="45" w:type="dxa"/>
            </w:tcMar>
            <w:vAlign w:val="center"/>
            <w:hideMark/>
          </w:tcPr>
          <w:p w14:paraId="5B2812D2" w14:textId="77777777" w:rsidR="008F3B5E" w:rsidRPr="008F3B5E" w:rsidRDefault="008F3B5E" w:rsidP="008F3B5E">
            <w:pPr>
              <w:spacing w:line="288" w:lineRule="auto"/>
              <w:jc w:val="center"/>
              <w:rPr>
                <w:b/>
                <w:bCs/>
                <w:sz w:val="26"/>
                <w:szCs w:val="26"/>
              </w:rPr>
            </w:pPr>
            <w:r w:rsidRPr="008F3B5E">
              <w:rPr>
                <w:b/>
                <w:bCs/>
                <w:sz w:val="26"/>
                <w:szCs w:val="26"/>
              </w:rPr>
              <w:t>Vệ tinh / Tổ chức</w:t>
            </w:r>
          </w:p>
        </w:tc>
        <w:tc>
          <w:tcPr>
            <w:tcW w:w="1954" w:type="dxa"/>
            <w:tcMar>
              <w:top w:w="30" w:type="dxa"/>
              <w:left w:w="45" w:type="dxa"/>
              <w:bottom w:w="30" w:type="dxa"/>
              <w:right w:w="45" w:type="dxa"/>
            </w:tcMar>
            <w:vAlign w:val="center"/>
            <w:hideMark/>
          </w:tcPr>
          <w:p w14:paraId="2B66E439" w14:textId="77777777" w:rsidR="008F3B5E" w:rsidRPr="008F3B5E" w:rsidRDefault="008F3B5E" w:rsidP="008F3B5E">
            <w:pPr>
              <w:spacing w:line="288" w:lineRule="auto"/>
              <w:jc w:val="center"/>
              <w:rPr>
                <w:b/>
                <w:bCs/>
                <w:sz w:val="26"/>
                <w:szCs w:val="26"/>
              </w:rPr>
            </w:pPr>
            <w:r w:rsidRPr="008F3B5E">
              <w:rPr>
                <w:b/>
                <w:bCs/>
                <w:sz w:val="26"/>
                <w:szCs w:val="26"/>
              </w:rPr>
              <w:t>Đối tượng giám sát</w:t>
            </w:r>
          </w:p>
        </w:tc>
        <w:tc>
          <w:tcPr>
            <w:tcW w:w="2693" w:type="dxa"/>
            <w:tcMar>
              <w:top w:w="30" w:type="dxa"/>
              <w:left w:w="45" w:type="dxa"/>
              <w:bottom w:w="30" w:type="dxa"/>
              <w:right w:w="45" w:type="dxa"/>
            </w:tcMar>
            <w:vAlign w:val="center"/>
            <w:hideMark/>
          </w:tcPr>
          <w:p w14:paraId="254E21B2" w14:textId="77777777" w:rsidR="008F3B5E" w:rsidRPr="008F3B5E" w:rsidRDefault="008F3B5E" w:rsidP="008F3B5E">
            <w:pPr>
              <w:spacing w:line="288" w:lineRule="auto"/>
              <w:jc w:val="center"/>
              <w:rPr>
                <w:b/>
                <w:bCs/>
                <w:sz w:val="26"/>
                <w:szCs w:val="26"/>
              </w:rPr>
            </w:pPr>
            <w:r w:rsidRPr="008F3B5E">
              <w:rPr>
                <w:b/>
                <w:bCs/>
                <w:sz w:val="26"/>
                <w:szCs w:val="26"/>
              </w:rPr>
              <w:t>Ưu điểm</w:t>
            </w:r>
          </w:p>
        </w:tc>
        <w:tc>
          <w:tcPr>
            <w:tcW w:w="2693" w:type="dxa"/>
            <w:tcMar>
              <w:top w:w="30" w:type="dxa"/>
              <w:left w:w="45" w:type="dxa"/>
              <w:bottom w:w="30" w:type="dxa"/>
              <w:right w:w="45" w:type="dxa"/>
            </w:tcMar>
            <w:vAlign w:val="center"/>
            <w:hideMark/>
          </w:tcPr>
          <w:p w14:paraId="416F6BFA" w14:textId="77777777" w:rsidR="008F3B5E" w:rsidRPr="008F3B5E" w:rsidRDefault="008F3B5E" w:rsidP="008F3B5E">
            <w:pPr>
              <w:spacing w:line="288" w:lineRule="auto"/>
              <w:jc w:val="center"/>
              <w:rPr>
                <w:b/>
                <w:bCs/>
                <w:sz w:val="26"/>
                <w:szCs w:val="26"/>
              </w:rPr>
            </w:pPr>
            <w:r w:rsidRPr="008F3B5E">
              <w:rPr>
                <w:b/>
                <w:bCs/>
                <w:sz w:val="26"/>
                <w:szCs w:val="26"/>
              </w:rPr>
              <w:t>Khuyết điểm</w:t>
            </w:r>
          </w:p>
        </w:tc>
      </w:tr>
      <w:tr w:rsidR="008F3B5E" w:rsidRPr="008F3B5E" w14:paraId="5120FF58" w14:textId="77777777" w:rsidTr="008F3B5E">
        <w:trPr>
          <w:trHeight w:val="315"/>
        </w:trPr>
        <w:tc>
          <w:tcPr>
            <w:tcW w:w="0" w:type="auto"/>
            <w:tcMar>
              <w:top w:w="30" w:type="dxa"/>
              <w:left w:w="45" w:type="dxa"/>
              <w:bottom w:w="30" w:type="dxa"/>
              <w:right w:w="45" w:type="dxa"/>
            </w:tcMar>
            <w:vAlign w:val="center"/>
            <w:hideMark/>
          </w:tcPr>
          <w:p w14:paraId="6A5A287D" w14:textId="77777777" w:rsidR="008F3B5E" w:rsidRPr="008F3B5E" w:rsidRDefault="008F3B5E" w:rsidP="008F3B5E">
            <w:pPr>
              <w:spacing w:line="288" w:lineRule="auto"/>
              <w:jc w:val="center"/>
              <w:rPr>
                <w:sz w:val="26"/>
                <w:szCs w:val="26"/>
              </w:rPr>
            </w:pPr>
            <w:r w:rsidRPr="008F3B5E">
              <w:rPr>
                <w:sz w:val="26"/>
                <w:szCs w:val="26"/>
              </w:rPr>
              <w:t>Sentinel-5P (ESA)</w:t>
            </w:r>
          </w:p>
        </w:tc>
        <w:tc>
          <w:tcPr>
            <w:tcW w:w="1954" w:type="dxa"/>
            <w:tcMar>
              <w:top w:w="30" w:type="dxa"/>
              <w:left w:w="45" w:type="dxa"/>
              <w:bottom w:w="30" w:type="dxa"/>
              <w:right w:w="45" w:type="dxa"/>
            </w:tcMar>
            <w:vAlign w:val="center"/>
            <w:hideMark/>
          </w:tcPr>
          <w:p w14:paraId="1FD03574" w14:textId="77777777" w:rsidR="008F3B5E" w:rsidRPr="008F3B5E" w:rsidRDefault="008F3B5E" w:rsidP="008F3B5E">
            <w:pPr>
              <w:spacing w:line="288" w:lineRule="auto"/>
              <w:jc w:val="both"/>
              <w:rPr>
                <w:sz w:val="26"/>
                <w:szCs w:val="26"/>
              </w:rPr>
            </w:pPr>
            <w:r w:rsidRPr="008F3B5E">
              <w:rPr>
                <w:sz w:val="26"/>
                <w:szCs w:val="26"/>
              </w:rPr>
              <w:t>Nồng độ CH4, CO, NO2... toàn cầu.</w:t>
            </w:r>
          </w:p>
        </w:tc>
        <w:tc>
          <w:tcPr>
            <w:tcW w:w="2693" w:type="dxa"/>
            <w:tcMar>
              <w:top w:w="30" w:type="dxa"/>
              <w:left w:w="45" w:type="dxa"/>
              <w:bottom w:w="30" w:type="dxa"/>
              <w:right w:w="45" w:type="dxa"/>
            </w:tcMar>
            <w:vAlign w:val="center"/>
            <w:hideMark/>
          </w:tcPr>
          <w:p w14:paraId="119F6827" w14:textId="77777777" w:rsidR="008F3B5E" w:rsidRPr="008F3B5E" w:rsidRDefault="008F3B5E" w:rsidP="008F3B5E">
            <w:pPr>
              <w:spacing w:line="288" w:lineRule="auto"/>
              <w:jc w:val="both"/>
              <w:rPr>
                <w:sz w:val="26"/>
                <w:szCs w:val="26"/>
              </w:rPr>
            </w:pPr>
            <w:r w:rsidRPr="008F3B5E">
              <w:rPr>
                <w:sz w:val="26"/>
                <w:szCs w:val="26"/>
              </w:rPr>
              <w:t>Miễn phí, bao phủ toàn cầu hàng ngày, độ tin cậy khoa học cao.</w:t>
            </w:r>
          </w:p>
        </w:tc>
        <w:tc>
          <w:tcPr>
            <w:tcW w:w="2693" w:type="dxa"/>
            <w:tcMar>
              <w:top w:w="30" w:type="dxa"/>
              <w:left w:w="0" w:type="dxa"/>
              <w:bottom w:w="30" w:type="dxa"/>
              <w:right w:w="0" w:type="dxa"/>
            </w:tcMar>
            <w:vAlign w:val="center"/>
            <w:hideMark/>
          </w:tcPr>
          <w:p w14:paraId="2B6B5ECF" w14:textId="77777777" w:rsidR="008F3B5E" w:rsidRPr="008F3B5E" w:rsidRDefault="008F3B5E" w:rsidP="008F3B5E">
            <w:pPr>
              <w:spacing w:line="288" w:lineRule="auto"/>
              <w:jc w:val="both"/>
              <w:rPr>
                <w:sz w:val="26"/>
                <w:szCs w:val="26"/>
              </w:rPr>
            </w:pPr>
            <w:r w:rsidRPr="008F3B5E">
              <w:rPr>
                <w:sz w:val="26"/>
                <w:szCs w:val="26"/>
              </w:rPr>
              <w:t>Độ phân giải thấp (km), chỉ thấy "vùng" phát thải lớn, không thấy "nguồn" cụ thể.</w:t>
            </w:r>
          </w:p>
        </w:tc>
      </w:tr>
      <w:tr w:rsidR="008F3B5E" w:rsidRPr="008F3B5E" w14:paraId="1F578444" w14:textId="77777777" w:rsidTr="008F3B5E">
        <w:trPr>
          <w:trHeight w:val="315"/>
        </w:trPr>
        <w:tc>
          <w:tcPr>
            <w:tcW w:w="0" w:type="auto"/>
            <w:tcMar>
              <w:top w:w="30" w:type="dxa"/>
              <w:left w:w="45" w:type="dxa"/>
              <w:bottom w:w="30" w:type="dxa"/>
              <w:right w:w="45" w:type="dxa"/>
            </w:tcMar>
            <w:vAlign w:val="center"/>
            <w:hideMark/>
          </w:tcPr>
          <w:p w14:paraId="79F0AC21" w14:textId="77777777" w:rsidR="008F3B5E" w:rsidRPr="008F3B5E" w:rsidRDefault="008F3B5E" w:rsidP="008F3B5E">
            <w:pPr>
              <w:spacing w:line="288" w:lineRule="auto"/>
              <w:jc w:val="center"/>
              <w:rPr>
                <w:sz w:val="26"/>
                <w:szCs w:val="26"/>
              </w:rPr>
            </w:pPr>
            <w:r w:rsidRPr="008F3B5E">
              <w:rPr>
                <w:sz w:val="26"/>
                <w:szCs w:val="26"/>
              </w:rPr>
              <w:t>OCO-2 / OCO-3 (NASA)</w:t>
            </w:r>
          </w:p>
        </w:tc>
        <w:tc>
          <w:tcPr>
            <w:tcW w:w="1954" w:type="dxa"/>
            <w:tcMar>
              <w:top w:w="30" w:type="dxa"/>
              <w:left w:w="45" w:type="dxa"/>
              <w:bottom w:w="30" w:type="dxa"/>
              <w:right w:w="45" w:type="dxa"/>
            </w:tcMar>
            <w:vAlign w:val="center"/>
            <w:hideMark/>
          </w:tcPr>
          <w:p w14:paraId="2108740A" w14:textId="77777777" w:rsidR="008F3B5E" w:rsidRPr="008F3B5E" w:rsidRDefault="008F3B5E" w:rsidP="008F3B5E">
            <w:pPr>
              <w:spacing w:line="288" w:lineRule="auto"/>
              <w:jc w:val="both"/>
              <w:rPr>
                <w:sz w:val="26"/>
                <w:szCs w:val="26"/>
              </w:rPr>
            </w:pPr>
            <w:r w:rsidRPr="008F3B5E">
              <w:rPr>
                <w:sz w:val="26"/>
                <w:szCs w:val="26"/>
              </w:rPr>
              <w:t>Nồng độ CO2 toàn cầu.</w:t>
            </w:r>
          </w:p>
        </w:tc>
        <w:tc>
          <w:tcPr>
            <w:tcW w:w="2693" w:type="dxa"/>
            <w:tcMar>
              <w:top w:w="30" w:type="dxa"/>
              <w:left w:w="45" w:type="dxa"/>
              <w:bottom w:w="30" w:type="dxa"/>
              <w:right w:w="45" w:type="dxa"/>
            </w:tcMar>
            <w:vAlign w:val="center"/>
            <w:hideMark/>
          </w:tcPr>
          <w:p w14:paraId="5C585575" w14:textId="77777777" w:rsidR="008F3B5E" w:rsidRPr="008F3B5E" w:rsidRDefault="008F3B5E" w:rsidP="008F3B5E">
            <w:pPr>
              <w:spacing w:line="288" w:lineRule="auto"/>
              <w:jc w:val="both"/>
              <w:rPr>
                <w:sz w:val="26"/>
                <w:szCs w:val="26"/>
              </w:rPr>
            </w:pPr>
            <w:r w:rsidRPr="008F3B5E">
              <w:rPr>
                <w:sz w:val="26"/>
                <w:szCs w:val="26"/>
              </w:rPr>
              <w:t>Miễn phí, độ chính xác rất cao.</w:t>
            </w:r>
          </w:p>
        </w:tc>
        <w:tc>
          <w:tcPr>
            <w:tcW w:w="2693" w:type="dxa"/>
            <w:tcMar>
              <w:top w:w="30" w:type="dxa"/>
              <w:left w:w="0" w:type="dxa"/>
              <w:bottom w:w="30" w:type="dxa"/>
              <w:right w:w="0" w:type="dxa"/>
            </w:tcMar>
            <w:vAlign w:val="center"/>
            <w:hideMark/>
          </w:tcPr>
          <w:p w14:paraId="43D361B0" w14:textId="77777777" w:rsidR="008F3B5E" w:rsidRPr="008F3B5E" w:rsidRDefault="008F3B5E" w:rsidP="008F3B5E">
            <w:pPr>
              <w:spacing w:line="288" w:lineRule="auto"/>
              <w:jc w:val="both"/>
              <w:rPr>
                <w:sz w:val="26"/>
                <w:szCs w:val="26"/>
              </w:rPr>
            </w:pPr>
            <w:r w:rsidRPr="008F3B5E">
              <w:rPr>
                <w:sz w:val="26"/>
                <w:szCs w:val="26"/>
              </w:rPr>
              <w:t>Độ phân giải thấp, không chụp ảnh liên tục mà theo các vệt quét hẹp.</w:t>
            </w:r>
          </w:p>
        </w:tc>
      </w:tr>
      <w:tr w:rsidR="008F3B5E" w:rsidRPr="008F3B5E" w14:paraId="34FE8449" w14:textId="77777777" w:rsidTr="008F3B5E">
        <w:trPr>
          <w:trHeight w:val="315"/>
        </w:trPr>
        <w:tc>
          <w:tcPr>
            <w:tcW w:w="0" w:type="auto"/>
            <w:tcMar>
              <w:top w:w="30" w:type="dxa"/>
              <w:left w:w="45" w:type="dxa"/>
              <w:bottom w:w="30" w:type="dxa"/>
              <w:right w:w="45" w:type="dxa"/>
            </w:tcMar>
            <w:vAlign w:val="center"/>
            <w:hideMark/>
          </w:tcPr>
          <w:p w14:paraId="7B79EAAF" w14:textId="77777777" w:rsidR="008F3B5E" w:rsidRPr="008F3B5E" w:rsidRDefault="008F3B5E" w:rsidP="008F3B5E">
            <w:pPr>
              <w:spacing w:line="288" w:lineRule="auto"/>
              <w:jc w:val="center"/>
              <w:rPr>
                <w:sz w:val="26"/>
                <w:szCs w:val="26"/>
              </w:rPr>
            </w:pPr>
            <w:r w:rsidRPr="008F3B5E">
              <w:rPr>
                <w:sz w:val="26"/>
                <w:szCs w:val="26"/>
              </w:rPr>
              <w:t>MethaneSAT (Quỹ EDF/Google)</w:t>
            </w:r>
          </w:p>
        </w:tc>
        <w:tc>
          <w:tcPr>
            <w:tcW w:w="1954" w:type="dxa"/>
            <w:tcMar>
              <w:top w:w="30" w:type="dxa"/>
              <w:left w:w="45" w:type="dxa"/>
              <w:bottom w:w="30" w:type="dxa"/>
              <w:right w:w="45" w:type="dxa"/>
            </w:tcMar>
            <w:vAlign w:val="center"/>
            <w:hideMark/>
          </w:tcPr>
          <w:p w14:paraId="0F2D2E71" w14:textId="77777777" w:rsidR="008F3B5E" w:rsidRPr="008F3B5E" w:rsidRDefault="008F3B5E" w:rsidP="008F3B5E">
            <w:pPr>
              <w:spacing w:line="288" w:lineRule="auto"/>
              <w:jc w:val="both"/>
              <w:rPr>
                <w:sz w:val="26"/>
                <w:szCs w:val="26"/>
              </w:rPr>
            </w:pPr>
            <w:r w:rsidRPr="008F3B5E">
              <w:rPr>
                <w:sz w:val="26"/>
                <w:szCs w:val="26"/>
              </w:rPr>
              <w:t>Các "vùng" phát thải CH4 lớn (như mỏ dầu khí, nông nghiệp).</w:t>
            </w:r>
          </w:p>
        </w:tc>
        <w:tc>
          <w:tcPr>
            <w:tcW w:w="2693" w:type="dxa"/>
            <w:tcMar>
              <w:top w:w="30" w:type="dxa"/>
              <w:left w:w="45" w:type="dxa"/>
              <w:bottom w:w="30" w:type="dxa"/>
              <w:right w:w="45" w:type="dxa"/>
            </w:tcMar>
            <w:vAlign w:val="center"/>
            <w:hideMark/>
          </w:tcPr>
          <w:p w14:paraId="535B6A0F" w14:textId="77777777" w:rsidR="008F3B5E" w:rsidRPr="008F3B5E" w:rsidRDefault="008F3B5E" w:rsidP="008F3B5E">
            <w:pPr>
              <w:spacing w:line="288" w:lineRule="auto"/>
              <w:jc w:val="both"/>
              <w:rPr>
                <w:sz w:val="26"/>
                <w:szCs w:val="26"/>
              </w:rPr>
            </w:pPr>
            <w:r w:rsidRPr="008F3B5E">
              <w:rPr>
                <w:sz w:val="26"/>
                <w:szCs w:val="26"/>
              </w:rPr>
              <w:t>Dữ liệu sẽ công khai miễn phí, độ chính xác cao, vùng quét rộng (200km).</w:t>
            </w:r>
          </w:p>
        </w:tc>
        <w:tc>
          <w:tcPr>
            <w:tcW w:w="2693" w:type="dxa"/>
            <w:tcMar>
              <w:top w:w="30" w:type="dxa"/>
              <w:left w:w="0" w:type="dxa"/>
              <w:bottom w:w="30" w:type="dxa"/>
              <w:right w:w="0" w:type="dxa"/>
            </w:tcMar>
            <w:vAlign w:val="center"/>
            <w:hideMark/>
          </w:tcPr>
          <w:p w14:paraId="7500A673" w14:textId="77777777" w:rsidR="008F3B5E" w:rsidRPr="008F3B5E" w:rsidRDefault="008F3B5E" w:rsidP="008F3B5E">
            <w:pPr>
              <w:spacing w:line="288" w:lineRule="auto"/>
              <w:jc w:val="both"/>
              <w:rPr>
                <w:sz w:val="26"/>
                <w:szCs w:val="26"/>
              </w:rPr>
            </w:pPr>
            <w:r w:rsidRPr="008F3B5E">
              <w:rPr>
                <w:sz w:val="26"/>
                <w:szCs w:val="26"/>
              </w:rPr>
              <w:t>Độ phân giải (~100m) thấp hơn GHGSat, tập trung vào các khu vực lớn.</w:t>
            </w:r>
          </w:p>
        </w:tc>
      </w:tr>
      <w:tr w:rsidR="008F3B5E" w:rsidRPr="008F3B5E" w14:paraId="6637E0B9" w14:textId="77777777" w:rsidTr="008F3B5E">
        <w:trPr>
          <w:trHeight w:val="315"/>
        </w:trPr>
        <w:tc>
          <w:tcPr>
            <w:tcW w:w="0" w:type="auto"/>
            <w:tcMar>
              <w:top w:w="30" w:type="dxa"/>
              <w:left w:w="45" w:type="dxa"/>
              <w:bottom w:w="30" w:type="dxa"/>
              <w:right w:w="45" w:type="dxa"/>
            </w:tcMar>
            <w:vAlign w:val="center"/>
            <w:hideMark/>
          </w:tcPr>
          <w:p w14:paraId="2325BDC3" w14:textId="77777777" w:rsidR="008F3B5E" w:rsidRPr="008F3B5E" w:rsidRDefault="008F3B5E" w:rsidP="008F3B5E">
            <w:pPr>
              <w:spacing w:line="288" w:lineRule="auto"/>
              <w:jc w:val="center"/>
              <w:rPr>
                <w:sz w:val="26"/>
                <w:szCs w:val="26"/>
              </w:rPr>
            </w:pPr>
            <w:r w:rsidRPr="008F3B5E">
              <w:rPr>
                <w:sz w:val="26"/>
                <w:szCs w:val="26"/>
              </w:rPr>
              <w:t>Tanager-1 (Tổ chức Carbon Mapper)</w:t>
            </w:r>
          </w:p>
        </w:tc>
        <w:tc>
          <w:tcPr>
            <w:tcW w:w="1954" w:type="dxa"/>
            <w:tcMar>
              <w:top w:w="30" w:type="dxa"/>
              <w:left w:w="45" w:type="dxa"/>
              <w:bottom w:w="30" w:type="dxa"/>
              <w:right w:w="45" w:type="dxa"/>
            </w:tcMar>
            <w:vAlign w:val="center"/>
            <w:hideMark/>
          </w:tcPr>
          <w:p w14:paraId="79EDA220" w14:textId="77777777" w:rsidR="008F3B5E" w:rsidRPr="008F3B5E" w:rsidRDefault="008F3B5E" w:rsidP="008F3B5E">
            <w:pPr>
              <w:spacing w:line="288" w:lineRule="auto"/>
              <w:jc w:val="both"/>
              <w:rPr>
                <w:sz w:val="26"/>
                <w:szCs w:val="26"/>
              </w:rPr>
            </w:pPr>
            <w:r w:rsidRPr="008F3B5E">
              <w:rPr>
                <w:sz w:val="26"/>
                <w:szCs w:val="26"/>
              </w:rPr>
              <w:t>Nguồn điểm CO2 và CH4 (nhà máy, cơ sở công nghiệp).</w:t>
            </w:r>
          </w:p>
        </w:tc>
        <w:tc>
          <w:tcPr>
            <w:tcW w:w="2693" w:type="dxa"/>
            <w:tcMar>
              <w:top w:w="30" w:type="dxa"/>
              <w:left w:w="45" w:type="dxa"/>
              <w:bottom w:w="30" w:type="dxa"/>
              <w:right w:w="45" w:type="dxa"/>
            </w:tcMar>
            <w:vAlign w:val="center"/>
            <w:hideMark/>
          </w:tcPr>
          <w:p w14:paraId="2C719FFC" w14:textId="77777777" w:rsidR="008F3B5E" w:rsidRPr="008F3B5E" w:rsidRDefault="008F3B5E" w:rsidP="008F3B5E">
            <w:pPr>
              <w:spacing w:line="288" w:lineRule="auto"/>
              <w:jc w:val="both"/>
              <w:rPr>
                <w:sz w:val="26"/>
                <w:szCs w:val="26"/>
              </w:rPr>
            </w:pPr>
            <w:r w:rsidRPr="008F3B5E">
              <w:rPr>
                <w:sz w:val="26"/>
                <w:szCs w:val="26"/>
              </w:rPr>
              <w:t>Dữ liệu sẽ công khai miễn phí, độ phân giải siêu cao (~30m), phát hiện đồng thời cả CO2 và CH4.</w:t>
            </w:r>
          </w:p>
        </w:tc>
        <w:tc>
          <w:tcPr>
            <w:tcW w:w="2693" w:type="dxa"/>
            <w:tcMar>
              <w:top w:w="30" w:type="dxa"/>
              <w:left w:w="0" w:type="dxa"/>
              <w:bottom w:w="30" w:type="dxa"/>
              <w:right w:w="0" w:type="dxa"/>
            </w:tcMar>
            <w:vAlign w:val="center"/>
            <w:hideMark/>
          </w:tcPr>
          <w:p w14:paraId="1E1351DA" w14:textId="77777777" w:rsidR="008F3B5E" w:rsidRPr="008F3B5E" w:rsidRDefault="008F3B5E" w:rsidP="008F3B5E">
            <w:pPr>
              <w:spacing w:line="288" w:lineRule="auto"/>
              <w:jc w:val="both"/>
              <w:rPr>
                <w:sz w:val="26"/>
                <w:szCs w:val="26"/>
              </w:rPr>
            </w:pPr>
            <w:r w:rsidRPr="008F3B5E">
              <w:rPr>
                <w:sz w:val="26"/>
                <w:szCs w:val="26"/>
              </w:rPr>
              <w:t>Vệ tinh mới (phóng 2024), độ phức tạp dữ liệu cao (ảnh siêu phổ).</w:t>
            </w:r>
          </w:p>
        </w:tc>
      </w:tr>
      <w:tr w:rsidR="008F3B5E" w:rsidRPr="008F3B5E" w14:paraId="0BBD43F4" w14:textId="77777777" w:rsidTr="008F3B5E">
        <w:trPr>
          <w:trHeight w:val="315"/>
        </w:trPr>
        <w:tc>
          <w:tcPr>
            <w:tcW w:w="0" w:type="auto"/>
            <w:tcMar>
              <w:top w:w="30" w:type="dxa"/>
              <w:left w:w="45" w:type="dxa"/>
              <w:bottom w:w="30" w:type="dxa"/>
              <w:right w:w="45" w:type="dxa"/>
            </w:tcMar>
            <w:vAlign w:val="center"/>
            <w:hideMark/>
          </w:tcPr>
          <w:p w14:paraId="08B512D2" w14:textId="77777777" w:rsidR="008F3B5E" w:rsidRPr="008F3B5E" w:rsidRDefault="008F3B5E" w:rsidP="008F3B5E">
            <w:pPr>
              <w:spacing w:line="288" w:lineRule="auto"/>
              <w:jc w:val="center"/>
              <w:rPr>
                <w:sz w:val="26"/>
                <w:szCs w:val="26"/>
              </w:rPr>
            </w:pPr>
            <w:r w:rsidRPr="008F3B5E">
              <w:rPr>
                <w:sz w:val="26"/>
                <w:szCs w:val="26"/>
              </w:rPr>
              <w:lastRenderedPageBreak/>
              <w:t>Chòm vệ tinh GHGSat</w:t>
            </w:r>
          </w:p>
        </w:tc>
        <w:tc>
          <w:tcPr>
            <w:tcW w:w="1954" w:type="dxa"/>
            <w:tcMar>
              <w:top w:w="30" w:type="dxa"/>
              <w:left w:w="45" w:type="dxa"/>
              <w:bottom w:w="30" w:type="dxa"/>
              <w:right w:w="45" w:type="dxa"/>
            </w:tcMar>
            <w:vAlign w:val="center"/>
            <w:hideMark/>
          </w:tcPr>
          <w:p w14:paraId="259FAE33" w14:textId="77777777" w:rsidR="008F3B5E" w:rsidRPr="008F3B5E" w:rsidRDefault="008F3B5E" w:rsidP="008F3B5E">
            <w:pPr>
              <w:spacing w:line="288" w:lineRule="auto"/>
              <w:jc w:val="both"/>
              <w:rPr>
                <w:sz w:val="26"/>
                <w:szCs w:val="26"/>
              </w:rPr>
            </w:pPr>
            <w:r w:rsidRPr="008F3B5E">
              <w:rPr>
                <w:sz w:val="26"/>
                <w:szCs w:val="26"/>
              </w:rPr>
              <w:t>Nguồn điểm CH4 (cơ sở công nghiệp, giàn khoan, bãi rác).</w:t>
            </w:r>
          </w:p>
        </w:tc>
        <w:tc>
          <w:tcPr>
            <w:tcW w:w="2693" w:type="dxa"/>
            <w:tcMar>
              <w:top w:w="30" w:type="dxa"/>
              <w:left w:w="45" w:type="dxa"/>
              <w:bottom w:w="30" w:type="dxa"/>
              <w:right w:w="45" w:type="dxa"/>
            </w:tcMar>
            <w:vAlign w:val="center"/>
            <w:hideMark/>
          </w:tcPr>
          <w:p w14:paraId="79EA9EEF" w14:textId="77777777" w:rsidR="008F3B5E" w:rsidRPr="008F3B5E" w:rsidRDefault="008F3B5E" w:rsidP="008F3B5E">
            <w:pPr>
              <w:spacing w:line="288" w:lineRule="auto"/>
              <w:jc w:val="both"/>
              <w:rPr>
                <w:sz w:val="26"/>
                <w:szCs w:val="26"/>
              </w:rPr>
            </w:pPr>
            <w:r w:rsidRPr="008F3B5E">
              <w:rPr>
                <w:sz w:val="26"/>
                <w:szCs w:val="26"/>
              </w:rPr>
              <w:t>Mất phí, độ phân giải siêu cao (~25m), có thể "zoom" vào từng cơ sở, linh hoạt.</w:t>
            </w:r>
          </w:p>
        </w:tc>
        <w:tc>
          <w:tcPr>
            <w:tcW w:w="2693" w:type="dxa"/>
            <w:tcMar>
              <w:top w:w="30" w:type="dxa"/>
              <w:left w:w="0" w:type="dxa"/>
              <w:bottom w:w="30" w:type="dxa"/>
              <w:right w:w="0" w:type="dxa"/>
            </w:tcMar>
            <w:vAlign w:val="center"/>
            <w:hideMark/>
          </w:tcPr>
          <w:p w14:paraId="38E030CF" w14:textId="77777777" w:rsidR="008F3B5E" w:rsidRPr="008F3B5E" w:rsidRDefault="008F3B5E" w:rsidP="008F3B5E">
            <w:pPr>
              <w:spacing w:line="288" w:lineRule="auto"/>
              <w:jc w:val="both"/>
              <w:rPr>
                <w:sz w:val="26"/>
                <w:szCs w:val="26"/>
              </w:rPr>
            </w:pPr>
            <w:r w:rsidRPr="008F3B5E">
              <w:rPr>
                <w:sz w:val="26"/>
                <w:szCs w:val="26"/>
              </w:rPr>
              <w:t>Chi phí rất cao, không quét toàn cầu mà chỉ giám sát mục tiêu theo yêu cầu.</w:t>
            </w:r>
          </w:p>
        </w:tc>
      </w:tr>
    </w:tbl>
    <w:p w14:paraId="76E49771" w14:textId="77777777" w:rsidR="008F3B5E" w:rsidRPr="00635448" w:rsidRDefault="008F3B5E" w:rsidP="008F3B5E">
      <w:pPr>
        <w:spacing w:line="288" w:lineRule="auto"/>
        <w:ind w:firstLine="720"/>
        <w:jc w:val="both"/>
        <w:rPr>
          <w:sz w:val="28"/>
          <w:szCs w:val="28"/>
        </w:rPr>
      </w:pPr>
      <w:r w:rsidRPr="00635448">
        <w:rPr>
          <w:sz w:val="28"/>
          <w:szCs w:val="28"/>
        </w:rPr>
        <w:t xml:space="preserve">Công nghệ vệ tinh giám sát khí nhà kính đang làm thay đổi cách thức thế giới đánh giá, kiểm kê và đàm phán về khí hậu. Các cơ chế chính sách như </w:t>
      </w:r>
      <w:r w:rsidRPr="008F3B5E">
        <w:rPr>
          <w:sz w:val="28"/>
          <w:szCs w:val="28"/>
        </w:rPr>
        <w:t xml:space="preserve">Cơ chế Điều chỉnh Biên giới Carbon </w:t>
      </w:r>
      <w:r w:rsidRPr="00635448">
        <w:rPr>
          <w:sz w:val="28"/>
          <w:szCs w:val="28"/>
        </w:rPr>
        <w:t>(CBAM) của Liên minh châu Âu (EU) sẽ ngày càng dựa trên dữ liệu quan sát khách quan từ không gian.</w:t>
      </w:r>
    </w:p>
    <w:p w14:paraId="3A92C5E8" w14:textId="77777777" w:rsidR="008F3B5E" w:rsidRDefault="008F3B5E" w:rsidP="008F3B5E">
      <w:pPr>
        <w:spacing w:line="288" w:lineRule="auto"/>
        <w:ind w:firstLine="720"/>
        <w:jc w:val="both"/>
        <w:rPr>
          <w:sz w:val="28"/>
          <w:szCs w:val="28"/>
        </w:rPr>
      </w:pPr>
      <w:r w:rsidRPr="00635448">
        <w:rPr>
          <w:sz w:val="28"/>
          <w:szCs w:val="28"/>
        </w:rPr>
        <w:t>Đối với Việt Nam, đây vừa là thách thức vừa là cơ hội.</w:t>
      </w:r>
      <w:r w:rsidRPr="008F3B5E">
        <w:rPr>
          <w:sz w:val="28"/>
          <w:szCs w:val="28"/>
        </w:rPr>
        <w:t xml:space="preserve"> </w:t>
      </w:r>
      <w:r w:rsidRPr="00635448">
        <w:rPr>
          <w:sz w:val="28"/>
          <w:szCs w:val="28"/>
        </w:rPr>
        <w:t>Việt Nam cần xây dựng năng lực phân tích và khai thác dữ liệu vệ tinh miễn phí, đặc biệt là từ các nguồn như Sentinel-5P, để phục vụ công tác kiểm kê phát thải quốc gia, giám sát nông nghiệp, chất thải và năng lượng.</w:t>
      </w:r>
      <w:r w:rsidRPr="008F3B5E">
        <w:rPr>
          <w:sz w:val="28"/>
          <w:szCs w:val="28"/>
        </w:rPr>
        <w:t xml:space="preserve"> </w:t>
      </w:r>
      <w:r w:rsidRPr="00635448">
        <w:rPr>
          <w:sz w:val="28"/>
          <w:szCs w:val="28"/>
        </w:rPr>
        <w:t>Đồng thời, khuyến khích doanh nghiệp trong các ngành phát thải lớn (năng lượng, xi măng, thép, hóa chất) chủ động tiếp cận dữ liệu viễn thám và công nghệ giám sát khí nhà kính nhằm giảm thi</w:t>
      </w:r>
      <w:r w:rsidRPr="008F3B5E">
        <w:rPr>
          <w:sz w:val="28"/>
          <w:szCs w:val="28"/>
        </w:rPr>
        <w:t>ể</w:t>
      </w:r>
      <w:r w:rsidRPr="00635448">
        <w:rPr>
          <w:sz w:val="28"/>
          <w:szCs w:val="28"/>
        </w:rPr>
        <w:t>u phát thải, tăng cường năng lực cạnh tranh và đáp ứng yêu cầu hội nhập xanh toàn cầu.</w:t>
      </w:r>
    </w:p>
    <w:p w14:paraId="6235CE8E" w14:textId="6997B3F8" w:rsidR="00DD30E7" w:rsidRPr="00635448" w:rsidRDefault="00DD30E7" w:rsidP="008F3B5E">
      <w:pPr>
        <w:spacing w:line="288" w:lineRule="auto"/>
        <w:ind w:firstLine="720"/>
        <w:jc w:val="both"/>
        <w:rPr>
          <w:b/>
          <w:bCs/>
          <w:sz w:val="28"/>
          <w:szCs w:val="28"/>
        </w:rPr>
      </w:pPr>
      <w:r w:rsidRPr="00DD30E7">
        <w:rPr>
          <w:b/>
          <w:bCs/>
          <w:sz w:val="28"/>
          <w:szCs w:val="28"/>
        </w:rPr>
        <w:t>Trung tâm Kiểm định sản phẩm và thiết bị viễn thám</w:t>
      </w:r>
    </w:p>
    <w:sectPr w:rsidR="00DD30E7" w:rsidRPr="00635448" w:rsidSect="00F81BA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D63E5"/>
    <w:multiLevelType w:val="multilevel"/>
    <w:tmpl w:val="43A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12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E8"/>
    <w:rsid w:val="001719D6"/>
    <w:rsid w:val="004628E8"/>
    <w:rsid w:val="00565F82"/>
    <w:rsid w:val="008F3B5E"/>
    <w:rsid w:val="009414CA"/>
    <w:rsid w:val="00DD30E7"/>
    <w:rsid w:val="00DF05D4"/>
    <w:rsid w:val="00E90748"/>
    <w:rsid w:val="00E91585"/>
    <w:rsid w:val="00ED2319"/>
    <w:rsid w:val="00F81BA5"/>
    <w:rsid w:val="00FA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85B7"/>
  <w15:chartTrackingRefBased/>
  <w15:docId w15:val="{73F520CD-9782-4AFB-894E-FE73AFC6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5E"/>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462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8E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628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28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28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28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28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28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8E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628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28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28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28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28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28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2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8E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628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628E8"/>
    <w:pPr>
      <w:spacing w:before="160"/>
      <w:jc w:val="center"/>
    </w:pPr>
    <w:rPr>
      <w:i/>
      <w:iCs/>
      <w:color w:val="404040" w:themeColor="text1" w:themeTint="BF"/>
    </w:rPr>
  </w:style>
  <w:style w:type="character" w:customStyle="1" w:styleId="QuoteChar">
    <w:name w:val="Quote Char"/>
    <w:basedOn w:val="DefaultParagraphFont"/>
    <w:link w:val="Quote"/>
    <w:uiPriority w:val="29"/>
    <w:rsid w:val="004628E8"/>
    <w:rPr>
      <w:i/>
      <w:iCs/>
      <w:color w:val="404040" w:themeColor="text1" w:themeTint="BF"/>
    </w:rPr>
  </w:style>
  <w:style w:type="paragraph" w:styleId="ListParagraph">
    <w:name w:val="List Paragraph"/>
    <w:basedOn w:val="Normal"/>
    <w:uiPriority w:val="34"/>
    <w:qFormat/>
    <w:rsid w:val="004628E8"/>
    <w:pPr>
      <w:ind w:left="720"/>
      <w:contextualSpacing/>
    </w:pPr>
  </w:style>
  <w:style w:type="character" w:styleId="IntenseEmphasis">
    <w:name w:val="Intense Emphasis"/>
    <w:basedOn w:val="DefaultParagraphFont"/>
    <w:uiPriority w:val="21"/>
    <w:qFormat/>
    <w:rsid w:val="004628E8"/>
    <w:rPr>
      <w:i/>
      <w:iCs/>
      <w:color w:val="2F5496" w:themeColor="accent1" w:themeShade="BF"/>
    </w:rPr>
  </w:style>
  <w:style w:type="paragraph" w:styleId="IntenseQuote">
    <w:name w:val="Intense Quote"/>
    <w:basedOn w:val="Normal"/>
    <w:next w:val="Normal"/>
    <w:link w:val="IntenseQuoteChar"/>
    <w:uiPriority w:val="30"/>
    <w:qFormat/>
    <w:rsid w:val="00462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8E8"/>
    <w:rPr>
      <w:i/>
      <w:iCs/>
      <w:color w:val="2F5496" w:themeColor="accent1" w:themeShade="BF"/>
    </w:rPr>
  </w:style>
  <w:style w:type="character" w:styleId="IntenseReference">
    <w:name w:val="Intense Reference"/>
    <w:basedOn w:val="DefaultParagraphFont"/>
    <w:uiPriority w:val="32"/>
    <w:qFormat/>
    <w:rsid w:val="00462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5E4F3-9CE8-44C8-8B2A-5BB5E27A4CE8}"/>
</file>

<file path=customXml/itemProps2.xml><?xml version="1.0" encoding="utf-8"?>
<ds:datastoreItem xmlns:ds="http://schemas.openxmlformats.org/officeDocument/2006/customXml" ds:itemID="{7A6F69B6-4A20-479C-B46B-FD0AD76220E1}"/>
</file>

<file path=customXml/itemProps3.xml><?xml version="1.0" encoding="utf-8"?>
<ds:datastoreItem xmlns:ds="http://schemas.openxmlformats.org/officeDocument/2006/customXml" ds:itemID="{1F238893-B16F-43C6-B155-4999DA8CEB81}"/>
</file>

<file path=docProps/app.xml><?xml version="1.0" encoding="utf-8"?>
<Properties xmlns="http://schemas.openxmlformats.org/officeDocument/2006/extended-properties" xmlns:vt="http://schemas.openxmlformats.org/officeDocument/2006/docPropsVTypes">
  <Template>Normal.dotm</Template>
  <TotalTime>13</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4</cp:revision>
  <dcterms:created xsi:type="dcterms:W3CDTF">2025-10-29T09:00:00Z</dcterms:created>
  <dcterms:modified xsi:type="dcterms:W3CDTF">2025-10-29T09:13:00Z</dcterms:modified>
</cp:coreProperties>
</file>